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UNIVERSIDAD NACIONAL  AUTÓNOMA DE MÉXICO </w:t>
      </w:r>
      <w:r w:rsidDel="00000000" w:rsidR="00000000" w:rsidRPr="00000000">
        <w:drawing>
          <wp:anchor allowOverlap="1" behindDoc="0" distB="114300" distT="114300" distL="114300" distR="114300" hidden="0" layoutInCell="1" locked="0" relativeHeight="0" simplePos="0">
            <wp:simplePos x="0" y="0"/>
            <wp:positionH relativeFrom="column">
              <wp:posOffset>-152397</wp:posOffset>
            </wp:positionH>
            <wp:positionV relativeFrom="paragraph">
              <wp:posOffset>114300</wp:posOffset>
            </wp:positionV>
            <wp:extent cx="3000375" cy="28908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000375" cy="2890838"/>
                    </a:xfrm>
                    <a:prstGeom prst="rect"/>
                    <a:ln/>
                  </pic:spPr>
                </pic:pic>
              </a:graphicData>
            </a:graphic>
          </wp:anchor>
        </w:drawing>
      </w:r>
    </w:p>
    <w:p w:rsidR="00000000" w:rsidDel="00000000" w:rsidP="00000000" w:rsidRDefault="00000000" w:rsidRPr="00000000" w14:paraId="00000002">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Times New Roman" w:cs="Times New Roman" w:eastAsia="Times New Roman" w:hAnsi="Times New Roman"/>
          <w:sz w:val="36"/>
          <w:szCs w:val="36"/>
          <w:rtl w:val="0"/>
        </w:rPr>
        <w:t xml:space="preserve">FACULTAD DE ESTUDIOS SUPERIORES ACATLÁN.</w:t>
      </w:r>
    </w:p>
    <w:p w:rsidR="00000000" w:rsidDel="00000000" w:rsidP="00000000" w:rsidRDefault="00000000" w:rsidRPr="00000000" w14:paraId="00000003">
      <w:pPr>
        <w:spacing w:after="240" w:before="240" w:line="36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4">
      <w:pPr>
        <w:spacing w:after="240" w:before="240" w:line="360" w:lineRule="auto"/>
        <w:ind w:left="360"/>
        <w:jc w:val="center"/>
        <w:rPr>
          <w:rFonts w:ascii="Times New Roman" w:cs="Times New Roman" w:eastAsia="Times New Roman" w:hAnsi="Times New Roman"/>
          <w:i w:val="1"/>
          <w:sz w:val="48"/>
          <w:szCs w:val="48"/>
          <w:u w:val="single"/>
        </w:rPr>
      </w:pPr>
      <w:r w:rsidDel="00000000" w:rsidR="00000000" w:rsidRPr="00000000">
        <w:rPr>
          <w:rFonts w:ascii="Times New Roman" w:cs="Times New Roman" w:eastAsia="Times New Roman" w:hAnsi="Times New Roman"/>
          <w:i w:val="1"/>
          <w:sz w:val="48"/>
          <w:szCs w:val="48"/>
          <w:rtl w:val="0"/>
        </w:rPr>
        <w:t xml:space="preserve">Los 5 asertos de Mario Baena Alcázar</w:t>
      </w:r>
      <w:r w:rsidDel="00000000" w:rsidR="00000000" w:rsidRPr="00000000">
        <w:rPr>
          <w:rtl w:val="0"/>
        </w:rPr>
      </w:r>
    </w:p>
    <w:p w:rsidR="00000000" w:rsidDel="00000000" w:rsidP="00000000" w:rsidRDefault="00000000" w:rsidRPr="00000000" w14:paraId="00000005">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Equipo : “Los Religiosos Protestantes”.</w:t>
      </w:r>
    </w:p>
    <w:p w:rsidR="00000000" w:rsidDel="00000000" w:rsidP="00000000" w:rsidRDefault="00000000" w:rsidRPr="00000000" w14:paraId="00000006">
      <w:pPr>
        <w:spacing w:after="240" w:before="240" w:line="360" w:lineRule="auto"/>
        <w:ind w:left="360"/>
        <w:jc w:val="left"/>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     🌀Integrantes:</w:t>
      </w:r>
    </w:p>
    <w:p w:rsidR="00000000" w:rsidDel="00000000" w:rsidP="00000000" w:rsidRDefault="00000000" w:rsidRPr="00000000" w14:paraId="00000007">
      <w:pPr>
        <w:numPr>
          <w:ilvl w:val="0"/>
          <w:numId w:val="1"/>
        </w:numPr>
        <w:spacing w:after="0" w:before="240"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Aldana Ramos Bernardo Jesús</w:t>
      </w:r>
    </w:p>
    <w:p w:rsidR="00000000" w:rsidDel="00000000" w:rsidP="00000000" w:rsidRDefault="00000000" w:rsidRPr="00000000" w14:paraId="00000008">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Arreola Galván Héctor Hugo</w:t>
      </w:r>
    </w:p>
    <w:p w:rsidR="00000000" w:rsidDel="00000000" w:rsidP="00000000" w:rsidRDefault="00000000" w:rsidRPr="00000000" w14:paraId="00000009">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Barañano Santamaría Ricardo Ángel</w:t>
      </w:r>
    </w:p>
    <w:p w:rsidR="00000000" w:rsidDel="00000000" w:rsidP="00000000" w:rsidRDefault="00000000" w:rsidRPr="00000000" w14:paraId="0000000A">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García Galicia Leonardo Daniel    </w:t>
      </w:r>
    </w:p>
    <w:p w:rsidR="00000000" w:rsidDel="00000000" w:rsidP="00000000" w:rsidRDefault="00000000" w:rsidRPr="00000000" w14:paraId="0000000B">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Moreno Uribe Vladimir </w:t>
      </w:r>
    </w:p>
    <w:p w:rsidR="00000000" w:rsidDel="00000000" w:rsidP="00000000" w:rsidRDefault="00000000" w:rsidRPr="00000000" w14:paraId="0000000C">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Peralta Pérez Gustavo </w:t>
      </w:r>
    </w:p>
    <w:p w:rsidR="00000000" w:rsidDel="00000000" w:rsidP="00000000" w:rsidRDefault="00000000" w:rsidRPr="00000000" w14:paraId="0000000D">
      <w:pPr>
        <w:numPr>
          <w:ilvl w:val="0"/>
          <w:numId w:val="1"/>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Valenzuela Hernández Luisa Fernanda     </w:t>
      </w:r>
    </w:p>
    <w:p w:rsidR="00000000" w:rsidDel="00000000" w:rsidP="00000000" w:rsidRDefault="00000000" w:rsidRPr="00000000" w14:paraId="0000000E">
      <w:pPr>
        <w:spacing w:line="360" w:lineRule="auto"/>
        <w:ind w:left="72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spacing w:line="36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0">
      <w:pPr>
        <w:spacing w:line="36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line="36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spacing w:line="36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line="36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spacing w:line="360" w:lineRule="auto"/>
        <w:ind w:left="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-Introducción:</w:t>
      </w:r>
    </w:p>
    <w:p w:rsidR="00000000" w:rsidDel="00000000" w:rsidP="00000000" w:rsidRDefault="00000000" w:rsidRPr="00000000" w14:paraId="0000001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fracción del libro Mario Baena nos da a conocer los 5 asertos de la administración pública, tocando temas importantes como el poder, origen de las administraciones públicas y su evolución histórica en sis. administrativos, el tratamiento de los procesos para evaluación de las “policy” y la demostración de la teoría de élites. Así mismo desglosamos aserto por aserto con las opiniones personales del equipo sobre la importancia de las administraciones públicas y el enfoque de Baena hacia ellas. </w:t>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-1er Aserto:</w:t>
      </w:r>
    </w:p>
    <w:p w:rsidR="00000000" w:rsidDel="00000000" w:rsidP="00000000" w:rsidRDefault="00000000" w:rsidRPr="00000000" w14:paraId="00000018">
      <w:pPr>
        <w:spacing w:line="36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estudio de la Administración pública desde las perspectivas propias de las ciencias sociales debe referirse necesariamente al poder y a su presencia en la sociedad” (Baena, 1985: 23)</w:t>
      </w:r>
    </w:p>
    <w:p w:rsidR="00000000" w:rsidDel="00000000" w:rsidP="00000000" w:rsidRDefault="00000000" w:rsidRPr="00000000" w14:paraId="00000019">
      <w:pP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esta frase, el autor nos dice desde el vamos que el poder va aunado a la administración casi por naturaleza, rompiendo así con la creencia de que el Estado es imparcial con respecto a los intereses particulares de ciertos grupos esenciales en su mandato (élites). Dichos grupos, al haber creado las organizaciones necesarias para su permanencia en el poder, deben su propia existencia a las relaciones de dominio </w:t>
      </w:r>
      <w:r w:rsidDel="00000000" w:rsidR="00000000" w:rsidRPr="00000000">
        <w:rPr>
          <w:rFonts w:ascii="Times New Roman" w:cs="Times New Roman" w:eastAsia="Times New Roman" w:hAnsi="Times New Roman"/>
          <w:i w:val="1"/>
          <w:sz w:val="24"/>
          <w:szCs w:val="24"/>
          <w:rtl w:val="0"/>
        </w:rPr>
        <w:t xml:space="preserve">“de ellos y sobre ellos”, </w:t>
      </w:r>
      <w:r w:rsidDel="00000000" w:rsidR="00000000" w:rsidRPr="00000000">
        <w:rPr>
          <w:rFonts w:ascii="Times New Roman" w:cs="Times New Roman" w:eastAsia="Times New Roman" w:hAnsi="Times New Roman"/>
          <w:sz w:val="24"/>
          <w:szCs w:val="24"/>
          <w:rtl w:val="0"/>
        </w:rPr>
        <w:t xml:space="preserve">creando así una sistematización burocrática en donde todos dependen de todos; donde todos buscan el “bien común” para dicha asociación.</w:t>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Alcázar nos señala el riesgo que conlleva estudiar de manera dicotómica la Administración y la Política; Riesgo el cual consistía en la creación de un funcionario </w:t>
      </w:r>
      <w:r w:rsidDel="00000000" w:rsidR="00000000" w:rsidRPr="00000000">
        <w:rPr>
          <w:rFonts w:ascii="Times New Roman" w:cs="Times New Roman" w:eastAsia="Times New Roman" w:hAnsi="Times New Roman"/>
          <w:i w:val="1"/>
          <w:sz w:val="24"/>
          <w:szCs w:val="24"/>
          <w:rtl w:val="0"/>
        </w:rPr>
        <w:t xml:space="preserve">“aislado y séptico”</w:t>
      </w:r>
      <w:r w:rsidDel="00000000" w:rsidR="00000000" w:rsidRPr="00000000">
        <w:rPr>
          <w:rFonts w:ascii="Times New Roman" w:cs="Times New Roman" w:eastAsia="Times New Roman" w:hAnsi="Times New Roman"/>
          <w:sz w:val="24"/>
          <w:szCs w:val="24"/>
          <w:rtl w:val="0"/>
        </w:rPr>
        <w:t xml:space="preserve"> de las decisiones de una sociedad, interesado en mantener el  </w:t>
      </w:r>
      <w:r w:rsidDel="00000000" w:rsidR="00000000" w:rsidRPr="00000000">
        <w:rPr>
          <w:rFonts w:ascii="Times New Roman" w:cs="Times New Roman" w:eastAsia="Times New Roman" w:hAnsi="Times New Roman"/>
          <w:i w:val="1"/>
          <w:sz w:val="24"/>
          <w:szCs w:val="24"/>
          <w:rtl w:val="0"/>
        </w:rPr>
        <w:t xml:space="preserve">status quo</w:t>
      </w:r>
      <w:r w:rsidDel="00000000" w:rsidR="00000000" w:rsidRPr="00000000">
        <w:rPr>
          <w:rFonts w:ascii="Times New Roman" w:cs="Times New Roman" w:eastAsia="Times New Roman" w:hAnsi="Times New Roman"/>
          <w:sz w:val="24"/>
          <w:szCs w:val="24"/>
          <w:rtl w:val="0"/>
        </w:rPr>
        <w:t xml:space="preserve"> y los privilegios de aquellos a quienes beneficia que se estudien las mencionadas disciplinas aisladamente. Así mismo se destacan las características que un buen funcionario público o privado debería tener, necesarias en este </w:t>
      </w:r>
      <w:r w:rsidDel="00000000" w:rsidR="00000000" w:rsidRPr="00000000">
        <w:rPr>
          <w:rFonts w:ascii="Times New Roman" w:cs="Times New Roman" w:eastAsia="Times New Roman" w:hAnsi="Times New Roman"/>
          <w:i w:val="1"/>
          <w:sz w:val="24"/>
          <w:szCs w:val="24"/>
          <w:rtl w:val="0"/>
        </w:rPr>
        <w:t xml:space="preserve">“mundo turbulento y globalizado”;</w:t>
      </w:r>
      <w:r w:rsidDel="00000000" w:rsidR="00000000" w:rsidRPr="00000000">
        <w:rPr>
          <w:rFonts w:ascii="Times New Roman" w:cs="Times New Roman" w:eastAsia="Times New Roman" w:hAnsi="Times New Roman"/>
          <w:sz w:val="24"/>
          <w:szCs w:val="24"/>
          <w:rtl w:val="0"/>
        </w:rPr>
        <w:t xml:space="preserve"> Tales como el ser receptivo con las directivas políticas de las entidades en función de crear planes estratégicos para satisfacer las necesidades de la comunidad. Todo ésto, aunado al hecho de que el estudio del poder en la administración conlleva a un análisis humano y sociológico más que a uno de carácter escatológico (</w:t>
      </w:r>
      <w:r w:rsidDel="00000000" w:rsidR="00000000" w:rsidRPr="00000000">
        <w:rPr>
          <w:rFonts w:ascii="Times New Roman" w:cs="Times New Roman" w:eastAsia="Times New Roman" w:hAnsi="Times New Roman"/>
          <w:sz w:val="24"/>
          <w:szCs w:val="24"/>
          <w:highlight w:val="white"/>
          <w:rtl w:val="0"/>
        </w:rPr>
        <w:t xml:space="preserve">referente al destino final de las personas y las cosas)</w:t>
      </w:r>
      <w:r w:rsidDel="00000000" w:rsidR="00000000" w:rsidRPr="00000000">
        <w:rPr>
          <w:rFonts w:ascii="Times New Roman" w:cs="Times New Roman" w:eastAsia="Times New Roman" w:hAnsi="Times New Roman"/>
          <w:sz w:val="24"/>
          <w:szCs w:val="24"/>
          <w:rtl w:val="0"/>
        </w:rPr>
        <w:t xml:space="preserve">, lleva a la conclusión de que el objeto de la Ciencia de la Administración consiste en </w:t>
      </w:r>
      <w:r w:rsidDel="00000000" w:rsidR="00000000" w:rsidRPr="00000000">
        <w:rPr>
          <w:rFonts w:ascii="Times New Roman" w:cs="Times New Roman" w:eastAsia="Times New Roman" w:hAnsi="Times New Roman"/>
          <w:i w:val="1"/>
          <w:sz w:val="24"/>
          <w:szCs w:val="24"/>
          <w:rtl w:val="0"/>
        </w:rPr>
        <w:t xml:space="preserve">“las organizaciones al servicio del poder y los grupos que la dominan”</w:t>
      </w:r>
      <w:r w:rsidDel="00000000" w:rsidR="00000000" w:rsidRPr="00000000">
        <w:rPr>
          <w:rFonts w:ascii="Times New Roman" w:cs="Times New Roman" w:eastAsia="Times New Roman" w:hAnsi="Times New Roman"/>
          <w:sz w:val="24"/>
          <w:szCs w:val="24"/>
          <w:rtl w:val="0"/>
        </w:rPr>
        <w:t xml:space="preserve">; en otras palabras se nos resume que todo este “armazón” de estructuras de poder es la formalidad que esconde las verdaderas </w:t>
      </w:r>
      <w:r w:rsidDel="00000000" w:rsidR="00000000" w:rsidRPr="00000000">
        <w:rPr>
          <w:rFonts w:ascii="Times New Roman" w:cs="Times New Roman" w:eastAsia="Times New Roman" w:hAnsi="Times New Roman"/>
          <w:sz w:val="24"/>
          <w:szCs w:val="24"/>
          <w:u w:val="single"/>
          <w:rtl w:val="0"/>
        </w:rPr>
        <w:t xml:space="preserve">relaciones</w:t>
      </w:r>
      <w:r w:rsidDel="00000000" w:rsidR="00000000" w:rsidRPr="00000000">
        <w:rPr>
          <w:rFonts w:ascii="Times New Roman" w:cs="Times New Roman" w:eastAsia="Times New Roman" w:hAnsi="Times New Roman"/>
          <w:sz w:val="24"/>
          <w:szCs w:val="24"/>
          <w:rtl w:val="0"/>
        </w:rPr>
        <w:t xml:space="preserve"> de poder.</w:t>
      </w:r>
    </w:p>
    <w:p w:rsidR="00000000" w:rsidDel="00000000" w:rsidP="00000000" w:rsidRDefault="00000000" w:rsidRPr="00000000" w14:paraId="000000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ab/>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-2do Aserto:</w:t>
      </w:r>
    </w:p>
    <w:p w:rsidR="00000000" w:rsidDel="00000000" w:rsidP="00000000" w:rsidRDefault="00000000" w:rsidRPr="00000000" w14:paraId="0000001E">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sz w:val="24"/>
          <w:szCs w:val="24"/>
          <w:rtl w:val="0"/>
        </w:rPr>
        <w:t xml:space="preserve">“Por otra parte se está afirmando que la Administración, como el Estado, es un producto histórico, y que el tema debe estudiarse refiriéndolo a la época moderna, ya que sólo hay Administración pública cuando aparece el Estado”. </w:t>
      </w:r>
      <w:r w:rsidDel="00000000" w:rsidR="00000000" w:rsidRPr="00000000">
        <w:rPr>
          <w:rFonts w:ascii="Times New Roman" w:cs="Times New Roman" w:eastAsia="Times New Roman" w:hAnsi="Times New Roman"/>
          <w:sz w:val="24"/>
          <w:szCs w:val="24"/>
          <w:rtl w:val="0"/>
        </w:rPr>
        <w:t xml:space="preserve">(Baena, 1985: 24).</w:t>
      </w:r>
    </w:p>
    <w:p w:rsidR="00000000" w:rsidDel="00000000" w:rsidP="00000000" w:rsidRDefault="00000000" w:rsidRPr="00000000" w14:paraId="0000001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segundo aserto tiene un postulado muy interesante: el nacimiento histórico de la Administración. Aunque, resalta el texto, como tal siempre han habido tareas relacionadas a los menesteres del gobierno, sin embargo, éstas “administraciones” estaban destinadas a un solo hombre, en los claros absolutismos del viejo mundo. Por ende, no es propio llamar a éstos engranajes de la antigüedad administradores, puesto que más adelante se explica con lujo de detalle el nacimiento conciso de la administración tal como la apreciamos hoy en día.</w:t>
      </w:r>
    </w:p>
    <w:p w:rsidR="00000000" w:rsidDel="00000000" w:rsidP="00000000" w:rsidRDefault="00000000" w:rsidRPr="00000000" w14:paraId="0000002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Podemos destacar un punto muy claro en la Historia, muy a pesar de que el concepto de Estado existiese más de dos siglos antes: la Revolución Francesa marcó un antes y un después en la modernidad y en la Historia, ya que hizo a una nueva clase social permear en las esferas de poder político, económico y jurídico. Así, los dogmas de individualismo y divinidad son derrocados en favor de constituciones, ciudadanos y, eventualmente, el capitalismo. Así, es cómo aparece la Administración como la conocemos, y hablar de ella como aquella que distribuye los servicios es una imprecisión, y en el texto compara esta imprecisión con suma asertividad al llamar a los fenicios, los antiguos maestros comerciantes por antonomasia, como maestros del </w:t>
      </w:r>
      <w:r w:rsidDel="00000000" w:rsidR="00000000" w:rsidRPr="00000000">
        <w:rPr>
          <w:rFonts w:ascii="Times New Roman" w:cs="Times New Roman" w:eastAsia="Times New Roman" w:hAnsi="Times New Roman"/>
          <w:i w:val="1"/>
          <w:sz w:val="24"/>
          <w:szCs w:val="24"/>
          <w:rtl w:val="0"/>
        </w:rPr>
        <w:t xml:space="preserve">marketing</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-3er Aserto:</w:t>
      </w:r>
    </w:p>
    <w:p w:rsidR="00000000" w:rsidDel="00000000" w:rsidP="00000000" w:rsidRDefault="00000000" w:rsidRPr="00000000" w14:paraId="00000024">
      <w:pPr>
        <w:spacing w:line="36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“Comó el Estado mismo, las organizaciones públicas son productos históricos y están en función de las pautas culturales y del grado de desarrollo de una sociedad”.</w:t>
      </w:r>
    </w:p>
    <w:p w:rsidR="00000000" w:rsidDel="00000000" w:rsidP="00000000" w:rsidRDefault="00000000" w:rsidRPr="00000000" w14:paraId="00000025">
      <w:pPr>
        <w:spacing w:line="36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aserto va fundamentado en un análisis comparativo de los factores históricos y culturales de las sociedades.Lo mencionado con anterioridad hace referencia a que, para hacer un estudio adecuado de las administraciones públicas, resulta imposible hacerlo desapegado de los contextos históricos y factores culturales.</w:t>
      </w:r>
    </w:p>
    <w:p w:rsidR="00000000" w:rsidDel="00000000" w:rsidP="00000000" w:rsidRDefault="00000000" w:rsidRPr="00000000" w14:paraId="0000002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Con anterioridad, cuando la estandarización de los comportamientos individuales por parte de las instituciones iba únicamente en favor del Estado, por lo que solo había una sola administración pública,  aquí la necesidad de pluralidad era evidente lo que impulsó los análisi por organizaciones y regiones, por ende las normas jurídicas a las que se sujetaban se diversificaron dependiendo el contexto cultural.</w:t>
      </w:r>
    </w:p>
    <w:p w:rsidR="00000000" w:rsidDel="00000000" w:rsidP="00000000" w:rsidRDefault="00000000" w:rsidRPr="00000000" w14:paraId="00000028">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resalta una crítica bastante acertada y relacionada con lo anteriormente mencionado, el carácter de homogeneización de la aplicación de la administración pública es un error que se sigue cometiendo en la práctica iberoamericana, siendo eso, uno de los principales males estructurales de la administración pública en América Latina. </w:t>
      </w:r>
    </w:p>
    <w:p w:rsidR="00000000" w:rsidDel="00000000" w:rsidP="00000000" w:rsidRDefault="00000000" w:rsidRPr="00000000" w14:paraId="0000002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-4to Aserto: </w:t>
      </w:r>
    </w:p>
    <w:p w:rsidR="00000000" w:rsidDel="00000000" w:rsidP="00000000" w:rsidRDefault="00000000" w:rsidRPr="00000000" w14:paraId="0000002C">
      <w:pPr>
        <w:spacing w:line="36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comprobación del poder de los burócratas mediante el estudio de su presencia en los ámbitos del poder –Parlamento, Gobierno y Administración, y gran empresa– lleva a un interés por los grupos de poder en sí y sus inevitables conexiones” (Baena,1999:21) </w:t>
      </w:r>
    </w:p>
    <w:p w:rsidR="00000000" w:rsidDel="00000000" w:rsidP="00000000" w:rsidRDefault="00000000" w:rsidRPr="00000000" w14:paraId="0000002D">
      <w:pPr>
        <w:spacing w:line="36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E">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las preguntas de “qué y cómo se administra”, inicia el desarrollo del esquema metodológico y epistemológico que nos lleva a repensar las relaciones e interacciones dentro de un sistema administrativo, que a su vez está conformado por diversos subsistemas  que en sus funciones formales e informales, pueden adquirir la capacidad de innovar los procesos de cohesión y toma de decisiones para las APS.</w:t>
      </w:r>
    </w:p>
    <w:p w:rsidR="00000000" w:rsidDel="00000000" w:rsidP="00000000" w:rsidRDefault="00000000" w:rsidRPr="00000000" w14:paraId="0000002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Algunos objetivos de la administración que pretenden demostrar la existencia empírica de la cúpula organizacional, la teoría de las élites y los métodos de las redes sociales son del interés de Mariano Baena del Alcázar. La ocupación de los altos puestos burocráticos y su análisis en el ciclo de trabajo son pertinentes a la sociología estructural ya que puede evaluar y comparar de forma cualitativa y no sólo cuantitativa las cuestiones estratégicas que afectan al total de la población a quien van dirigidas las políticas públicas(policy).</w:t>
      </w:r>
    </w:p>
    <w:p w:rsidR="00000000" w:rsidDel="00000000" w:rsidP="00000000" w:rsidRDefault="00000000" w:rsidRPr="00000000" w14:paraId="00000030">
      <w:pPr>
        <w:spacing w:line="36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1">
      <w:pPr>
        <w:spacing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-5to  aserto: </w:t>
      </w:r>
    </w:p>
    <w:p w:rsidR="00000000" w:rsidDel="00000000" w:rsidP="00000000" w:rsidRDefault="00000000" w:rsidRPr="00000000" w14:paraId="00000032">
      <w:pPr>
        <w:spacing w:line="36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“Política pública. Toda decisión conformadora, de carácter innovador, que va acompañado de las medidas administrativas necesarias para su seguimiento y ejecución” </w:t>
      </w:r>
    </w:p>
    <w:p w:rsidR="00000000" w:rsidDel="00000000" w:rsidP="00000000" w:rsidRDefault="00000000" w:rsidRPr="00000000" w14:paraId="00000033">
      <w:pP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3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modelos estadísticos y probabilísticos conforman una estructura metodológica para generar criterios de distinción, en la toma de decisiones estratégicas por parte del aparato gubernamental, que consecuentemente originará el desarrollo de políticas públicas. Estas medidas estarán enfocadas en el rubro de la eficacia de la administración pública, gracias a su orientación en la toma de decisión de carácter estratégico, delimitada a un determinado sector o grupo social. Las políticas públicas creadas cuentan con todo un proceso administrativo complejo, coherente, objetivo, estructurado, en el que la formulación, implementación, ejecución, jugarán un papel fundamental en el desarrollo de la misma, pero que sin duda alguna, la evaluación va a ser la herramienta indispensable para corroborar la eficiencia o eficacia de la política pública. </w:t>
      </w:r>
    </w:p>
    <w:p w:rsidR="00000000" w:rsidDel="00000000" w:rsidP="00000000" w:rsidRDefault="00000000" w:rsidRPr="00000000" w14:paraId="00000035">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Habrá que distinguir las políticas públicas de dos elementos de la praxis gubernamental administrativa, como lo son las decisiones rutinarias y la forma de gestión simple. Además se distinguirá de otras actividades administrativas, porque resulta ser una herramienta innovadora por primeramente, poseer un pensamiento propio en el desarrollo teórico de la ciencia administrativa, tan inmerso en ella que funge como un objeto más de estudio de ciencia. En segundo lugar, su enfoque de la  eficacia en el impacto administrativo. En tercer lugar, porque extiende su cobertura en una determinada población objetivo. En cuarto y último lugar, por su incrementalismo, que retoma los modelos matemáticos aplicados a la administración, como la estadística y la probabilidad, donde se específica una aproximación descriptiva, a partir de una observación, tanto del entorno como de los datos; que concluye con que la interacción política tendrá un alto impacto en el proceso de la formulación de la política pública. </w:t>
      </w:r>
    </w:p>
    <w:p w:rsidR="00000000" w:rsidDel="00000000" w:rsidP="00000000" w:rsidRDefault="00000000" w:rsidRPr="00000000" w14:paraId="0000003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administración contemporánea, en sus nuevos paradigmas, perfeccionará sus espacios administrativos, sus herramientas de trabajo, su Praxis gubernamental, sus modelos y metodologías para adaptarse a las nuevas circunstancias emergentes, tales como la consolidación de las políticas públicas. </w:t>
      </w:r>
    </w:p>
    <w:p w:rsidR="00000000" w:rsidDel="00000000" w:rsidP="00000000" w:rsidRDefault="00000000" w:rsidRPr="00000000" w14:paraId="00000037">
      <w:pPr>
        <w:spacing w:after="240" w:before="24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-Conclusión General</w:t>
      </w:r>
    </w:p>
    <w:p w:rsidR="00000000" w:rsidDel="00000000" w:rsidP="00000000" w:rsidRDefault="00000000" w:rsidRPr="00000000" w14:paraId="0000003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una interpretación desde el marco normativo, podemos decir que los 5 asertos referidos por Baena Alcázar premian el esfuerzo solidario en conjunto, con bases desarrolladas en los resultados de la evolución de la ciencia administrativa hasta detalles ligados al comportamiento de los gobiernos actuales en tema de rendición de cuentas ante organismos mejor preparados en cuanto a nivel de planeación, con marcos legales delimitados, y un alcance mucho mayor debido a la cercanía de las tecnologías que permiten el fácil acceso a la información.</w:t>
        <w:br w:type="textWrapping"/>
        <w:tab/>
        <w:t xml:space="preserve">Asimismo, el planteamiento del quehacer de los deberes administrativos se refleja en mejor medida al momento de la conjunción de la legitimidad política, el buen accionar burocrático y el correcto seguimiento a la política social dirigida al mayor número de adeptos posible. Además de tomar en consideración los alcances de estas ramificaciones y configurar su accionar para un mejor funcionamiento.</w:t>
        <w:br w:type="textWrapping"/>
        <w:tab/>
        <w:t xml:space="preserve">No hay que olvidarse del carácter humanístico como prioridad para el mejoramiento de rendimiento, puesto que, a fin de cuentas, la administración pública es un organismo echado a andar por hombres en jerarquías; con objetivos en común y reglas capaces de ejercer a todos sus componentes, en conjunción de su contraparte política.</w:t>
        <w:br w:type="textWrapping"/>
        <w:tab/>
        <w:t xml:space="preserve">Por último, podemos considerar como un paso adecuado todos los engranajes aventurados a la praxis, por su significado temático y su capacidad de acción que, debido a los fallos epistemológicos aún sin resolver de la ciencia administrativa, se encontraban hasta hace poco, indecisos y poco prácticos en el conjunto de sistemas. El conjunto entre las ciencias auxiliares a la Administración y la puesta en marcha de su aparato burocrático con especial atención a la planeación, hacen tener de la Administración un nuevo manual práctico de operaciones conjuntas; de carácter científico y de vigencia reciente. </w:t>
      </w:r>
    </w:p>
    <w:p w:rsidR="00000000" w:rsidDel="00000000" w:rsidP="00000000" w:rsidRDefault="00000000" w:rsidRPr="00000000" w14:paraId="0000003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360" w:lineRule="auto"/>
        <w:jc w:val="both"/>
        <w:rPr>
          <w:rFonts w:ascii="Times New Roman" w:cs="Times New Roman" w:eastAsia="Times New Roman" w:hAnsi="Times New Roman"/>
          <w:sz w:val="24"/>
          <w:szCs w:val="24"/>
        </w:rPr>
      </w:pPr>
      <w:r w:rsidDel="00000000" w:rsidR="00000000" w:rsidRPr="00000000">
        <w:rPr>
          <w:rtl w:val="0"/>
        </w:rPr>
      </w:r>
    </w:p>
    <w:sectPr>
      <w:pgSz w:h="16834" w:w="11909"/>
      <w:pgMar w:bottom="381.3779527559075" w:top="708.661417322834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